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Arial" w:hAnsi="Arial" w:eastAsia="Arial" w:cs="Arial"/>
          <w:b/>
          <w:bCs/>
          <w:i/>
          <w:iCs/>
          <w:sz w:val="28"/>
          <w:szCs w:val="28"/>
        </w:rPr>
      </w:pPr>
      <w:r>
        <w:rPr>
          <w:rFonts w:ascii="Arial" w:hAnsi="Arial" w:eastAsia="Arial" w:cs="Arial"/>
          <w:b/>
          <w:bCs/>
          <w:i/>
          <w:iCs/>
          <w:sz w:val="28"/>
          <w:szCs w:val="28"/>
        </w:rPr>
        <w:t>Предложения к :</w:t>
      </w:r>
      <w:r>
        <w:rPr>
          <w:rFonts w:ascii="Arial" w:hAnsi="Arial" w:eastAsia="Arial" w:cs="Arial"/>
          <w:b/>
          <w:bCs/>
          <w:kern w:val="0"/>
          <w:lang w:val="ru-ru" w:bidi="ar-sa"/>
        </w:rPr>
        <w:t xml:space="preserve">СХЕМА ТЕПЛОСНАБЖЕНИЯ МУНИЦИПАЛЬНОГО ОБРАЗОВАНИЯ </w:t>
        <w:br w:type="textWrapping"/>
      </w:r>
      <w:r>
        <w:rPr>
          <w:rFonts w:ascii="Arial" w:hAnsi="Arial" w:eastAsia="Arial" w:cs="Arial"/>
          <w:kern w:val="0"/>
          <w:lang w:val="ru-ru" w:bidi="ar-sa"/>
        </w:rPr>
      </w:r>
      <w:bookmarkStart w:id="0" w:name="_Hlk117670035"/>
      <w:bookmarkEnd w:id="0"/>
      <w:r>
        <w:rPr>
          <w:rFonts w:ascii="Arial" w:hAnsi="Arial" w:eastAsia="Arial" w:cs="Arial"/>
          <w:kern w:val="0"/>
          <w:lang w:val="ru-ru" w:bidi="ar-sa"/>
        </w:rPr>
      </w:r>
      <w:r>
        <w:rPr>
          <w:rFonts w:ascii="Arial" w:hAnsi="Arial" w:eastAsia="Arial" w:cs="Arial"/>
          <w:b/>
          <w:bCs/>
          <w:kern w:val="0"/>
          <w:lang w:val="ru-ru" w:bidi="ar-sa"/>
        </w:rPr>
        <w:t>ГОРОДСКОГО ОКРУГА ГОРОД НОВОВОРОНЕЖ</w:t>
      </w:r>
      <w:r>
        <w:rPr>
          <w:rFonts w:ascii="Arial" w:hAnsi="Arial" w:eastAsia="Arial" w:cs="Arial"/>
          <w:b/>
          <w:bCs/>
          <w:kern w:val="0"/>
          <w:lang w:val="ru-ru" w:bidi="ar-sa"/>
        </w:rPr>
        <w:t xml:space="preserve"> С </w:t>
      </w:r>
      <w:r>
        <w:rPr>
          <w:rFonts w:ascii="Arial" w:hAnsi="Arial" w:eastAsia="Arial" w:cs="Arial"/>
          <w:b/>
          <w:bCs/>
          <w:kern w:val="0"/>
          <w:lang w:val="ru-ru" w:bidi="ar-sa"/>
        </w:rPr>
        <w:t>201</w:t>
      </w:r>
      <w:r>
        <w:rPr>
          <w:rFonts w:ascii="Arial" w:hAnsi="Arial" w:eastAsia="Arial" w:cs="Arial"/>
          <w:b/>
          <w:bCs/>
          <w:kern w:val="0"/>
          <w:lang w:val="ru-ru" w:bidi="ar-sa"/>
        </w:rPr>
        <w:t>3</w:t>
      </w:r>
      <w:r>
        <w:rPr>
          <w:rFonts w:ascii="Arial" w:hAnsi="Arial" w:eastAsia="Arial" w:cs="Arial"/>
          <w:b/>
          <w:bCs/>
          <w:kern w:val="0"/>
          <w:lang w:val="ru-ru" w:bidi="ar-sa"/>
        </w:rPr>
        <w:t xml:space="preserve"> ПО </w:t>
      </w:r>
      <w:r>
        <w:rPr>
          <w:rFonts w:ascii="Arial" w:hAnsi="Arial" w:eastAsia="Arial" w:cs="Arial"/>
          <w:b/>
          <w:bCs/>
          <w:kern w:val="0"/>
          <w:lang w:val="ru-ru" w:bidi="ar-sa"/>
        </w:rPr>
        <w:t>202</w:t>
      </w:r>
      <w:r>
        <w:rPr>
          <w:rFonts w:ascii="Arial" w:hAnsi="Arial" w:eastAsia="Arial" w:cs="Arial"/>
          <w:b/>
          <w:bCs/>
          <w:kern w:val="0"/>
          <w:lang w:val="ru-ru" w:bidi="ar-sa"/>
        </w:rPr>
        <w:t>9</w:t>
      </w:r>
      <w:r>
        <w:rPr>
          <w:rFonts w:ascii="Arial" w:hAnsi="Arial" w:eastAsia="Arial" w:cs="Arial"/>
          <w:b/>
          <w:bCs/>
          <w:kern w:val="0"/>
          <w:lang w:val="ru-ru" w:bidi="ar-sa"/>
        </w:rPr>
        <w:t xml:space="preserve"> ГОД. </w:t>
      </w:r>
      <w:r>
        <w:rPr>
          <w:rFonts w:ascii="Arial" w:hAnsi="Arial" w:eastAsia="Arial" w:cs="Arial"/>
          <w:b/>
          <w:bCs/>
          <w:kern w:val="0"/>
          <w:lang w:val="ru-ru" w:bidi="ar-sa"/>
        </w:rPr>
        <w:t>АКТУАЛИЗАЦИЯ НА 202</w:t>
      </w:r>
      <w:r>
        <w:rPr>
          <w:rFonts w:ascii="Arial" w:hAnsi="Arial" w:eastAsia="Arial" w:cs="Arial"/>
          <w:b/>
          <w:bCs/>
          <w:kern w:val="0"/>
          <w:lang w:val="ru-ru" w:bidi="ar-sa"/>
        </w:rPr>
        <w:t>5</w:t>
      </w:r>
      <w:r>
        <w:rPr>
          <w:rFonts w:ascii="Arial" w:hAnsi="Arial" w:eastAsia="Arial" w:cs="Arial"/>
          <w:b/>
          <w:bCs/>
          <w:kern w:val="0"/>
          <w:lang w:val="ru-ru" w:bidi="ar-sa"/>
        </w:rPr>
        <w:t xml:space="preserve"> Г.</w:t>
      </w:r>
      <w:r>
        <w:rPr>
          <w:rFonts w:ascii="Arial" w:hAnsi="Arial" w:eastAsia="Calibri"/>
          <w:b/>
          <w:bCs/>
          <w:kern w:val="0"/>
          <w:sz w:val="28"/>
          <w:szCs w:val="28"/>
          <w:lang w:val="ru-ru" w:bidi="ar-sa"/>
        </w:rPr>
        <w:br w:type="textWrapping"/>
      </w:r>
      <w:r>
        <w:rPr>
          <w:rFonts w:ascii="Arial" w:hAnsi="Arial" w:eastAsia="Arial" w:cs="Arial"/>
          <w:b/>
          <w:bCs/>
          <w:i/>
          <w:iCs/>
          <w:sz w:val="28"/>
          <w:szCs w:val="28"/>
        </w:rPr>
        <w:t>1.</w:t>
      </w:r>
    </w:p>
    <w:p>
      <w:r>
        <w:rPr>
          <w:rFonts w:ascii="Arial" w:hAnsi="Arial" w:eastAsia="Arial" w:cs="Arial"/>
          <w:i/>
          <w:iCs/>
          <w:sz w:val="22"/>
          <w:szCs w:val="22"/>
        </w:rPr>
        <w:t>Раздел :</w:t>
      </w:r>
      <w:r>
        <w:t xml:space="preserve"> </w:t>
      </w:r>
    </w:p>
    <w:p>
      <w:pPr>
        <w:pStyle w:val="3"/>
        <w:ind w:left="-142" w:hanging="11"/>
        <w:spacing w:before="40" w:after="0" w:line="259" w:lineRule="auto"/>
        <w:widowControl/>
        <w:rPr>
          <w:rFonts w:ascii="Times New Roman" w:hAnsi="Times New Roman" w:eastAsia="Calibri Light" w:cs="Times New Roman"/>
          <w:i/>
          <w:iCs/>
          <w:kern w:val="0"/>
          <w:lang w:val="ru-ru" w:bidi="ar-sa"/>
        </w:rPr>
      </w:pPr>
      <w:r>
        <w:rPr>
          <w:rFonts w:ascii="Times New Roman" w:hAnsi="Times New Roman" w:eastAsia="Calibri Light" w:cs="Times New Roman"/>
          <w:i/>
          <w:iCs/>
          <w:kern w:val="0"/>
          <w:lang w:val="ru-ru" w:bidi="ar-sa"/>
        </w:rPr>
        <w:t>2.2.3 Схема выдачи тепловой мощности.</w:t>
      </w:r>
    </w:p>
    <w:p>
      <w:pPr>
        <w:rPr>
          <w:i/>
          <w:iCs/>
          <w:sz w:val="22"/>
          <w:szCs w:val="22"/>
        </w:rPr>
      </w:pPr>
      <w:r>
        <w:t xml:space="preserve">  </w:t>
      </w:r>
      <w:r>
        <w:rPr>
          <w:rFonts w:ascii="Arial" w:hAnsi="Arial" w:eastAsia="Arial" w:cs="Arial"/>
          <w:i/>
          <w:iCs/>
          <w:sz w:val="22"/>
          <w:szCs w:val="22"/>
        </w:rPr>
        <w:t xml:space="preserve">Дополнить (см приложение) </w:t>
      </w:r>
      <w:r>
        <w:rPr>
          <w:i/>
          <w:iCs/>
          <w:sz w:val="22"/>
          <w:szCs w:val="22"/>
        </w:rPr>
        <w:t>;</w:t>
      </w:r>
    </w:p>
    <w:p>
      <w:pPr>
        <w:numPr>
          <w:ilvl w:val="0"/>
          <w:numId w:val="5"/>
        </w:numPr>
        <w:ind w:left="360" w:hanging="360"/>
        <w:rPr>
          <w:rFonts w:ascii="Arial" w:hAnsi="Arial" w:eastAsia="Arial" w:cs="Arial"/>
          <w:i/>
          <w:iCs/>
          <w:sz w:val="22"/>
          <w:szCs w:val="22"/>
        </w:rPr>
      </w:pPr>
      <w:r>
        <w:rPr>
          <w:rFonts w:ascii="Arial" w:hAnsi="Arial" w:eastAsia="Arial" w:cs="Arial"/>
          <w:i/>
          <w:iCs/>
          <w:sz w:val="22"/>
          <w:szCs w:val="22"/>
        </w:rPr>
        <w:t xml:space="preserve">Схема выдачи тепловой энергии  блок 6-7  </w:t>
      </w:r>
    </w:p>
    <w:p>
      <w:pPr>
        <w:numPr>
          <w:ilvl w:val="0"/>
          <w:numId w:val="5"/>
        </w:numPr>
        <w:ind w:left="360" w:hanging="360"/>
        <w:rPr>
          <w:rFonts w:ascii="Arial" w:hAnsi="Arial" w:eastAsia="Arial" w:cs="Arial"/>
          <w:i/>
          <w:iCs/>
          <w:sz w:val="22"/>
          <w:szCs w:val="22"/>
        </w:rPr>
      </w:pPr>
      <w:r>
        <w:rPr>
          <w:rFonts w:ascii="Arial" w:hAnsi="Arial" w:eastAsia="Arial" w:cs="Arial"/>
          <w:i/>
          <w:iCs/>
          <w:sz w:val="22"/>
          <w:szCs w:val="22"/>
        </w:rPr>
        <w:t>Схема выдачи тепловой энергии (мощности ) котельными  ( сущ. положение)</w:t>
      </w:r>
    </w:p>
    <w:p>
      <w:pPr>
        <w:numPr>
          <w:ilvl w:val="0"/>
          <w:numId w:val="5"/>
        </w:numPr>
        <w:ind w:left="360" w:hanging="360"/>
        <w:rPr>
          <w:rFonts w:ascii="Arial" w:hAnsi="Arial" w:eastAsia="Arial" w:cs="Arial"/>
          <w:i/>
          <w:iCs/>
          <w:sz w:val="22"/>
          <w:szCs w:val="22"/>
        </w:rPr>
      </w:pPr>
      <w:r>
        <w:rPr>
          <w:rFonts w:ascii="Arial" w:hAnsi="Arial" w:eastAsia="Arial" w:cs="Arial"/>
          <w:i/>
          <w:iCs/>
          <w:sz w:val="22"/>
          <w:szCs w:val="22"/>
        </w:rPr>
        <w:t>Схема выдачи тепловой энергии (мощности) котельными при подключении ТФУ 6-7</w:t>
      </w:r>
    </w:p>
    <w:p>
      <w:pPr>
        <w:numPr>
          <w:ilvl w:val="0"/>
          <w:numId w:val="0"/>
        </w:numPr>
        <w:ind w:left="360" w:firstLine="0"/>
        <w:rPr>
          <w:rFonts w:ascii="Arial" w:hAnsi="Arial" w:eastAsia="Arial" w:cs="Arial"/>
          <w:b/>
          <w:bCs/>
          <w:i/>
          <w:iCs/>
          <w:sz w:val="28"/>
          <w:szCs w:val="28"/>
        </w:rPr>
      </w:pPr>
      <w:r>
        <w:rPr>
          <w:rFonts w:ascii="Arial" w:hAnsi="Arial" w:eastAsia="Arial" w:cs="Arial"/>
          <w:b/>
          <w:bCs/>
          <w:i/>
          <w:iCs/>
          <w:sz w:val="28"/>
          <w:szCs w:val="28"/>
        </w:rPr>
        <w:t>2.</w:t>
      </w:r>
    </w:p>
    <w:p>
      <w:pPr>
        <w:numPr>
          <w:ilvl w:val="0"/>
          <w:numId w:val="0"/>
        </w:numPr>
        <w:ind w:left="360" w:firstLine="0"/>
        <w:rPr>
          <w:rFonts w:ascii="Arial" w:hAnsi="Arial" w:eastAsia="Arial" w:cs="Arial"/>
          <w:i/>
          <w:iCs/>
          <w:sz w:val="22"/>
          <w:szCs w:val="22"/>
        </w:rPr>
      </w:pPr>
      <w:r>
        <w:rPr>
          <w:rFonts w:ascii="Arial" w:hAnsi="Arial" w:eastAsia="Arial" w:cs="Arial"/>
          <w:i/>
          <w:iCs/>
          <w:sz w:val="22"/>
          <w:szCs w:val="22"/>
        </w:rPr>
        <w:t xml:space="preserve">Раздел 2.2 Источники Теплоснабжения </w:t>
      </w:r>
    </w:p>
    <w:p>
      <w:pPr>
        <w:numPr>
          <w:ilvl w:val="0"/>
          <w:numId w:val="0"/>
        </w:numPr>
        <w:ind w:left="360" w:firstLine="0"/>
        <w:rPr>
          <w:rFonts w:ascii="Arial" w:hAnsi="Arial" w:eastAsia="Arial" w:cs="Arial"/>
          <w:i/>
          <w:iCs/>
          <w:sz w:val="22"/>
          <w:szCs w:val="22"/>
        </w:rPr>
      </w:pPr>
      <w:r>
        <w:rPr>
          <w:rFonts w:ascii="Arial" w:hAnsi="Arial" w:eastAsia="Arial" w:cs="Arial"/>
          <w:i/>
          <w:iCs/>
          <w:sz w:val="22"/>
          <w:szCs w:val="22"/>
        </w:rPr>
      </w:r>
    </w:p>
    <w:p>
      <w:pPr>
        <w:numPr>
          <w:ilvl w:val="0"/>
          <w:numId w:val="5"/>
        </w:numPr>
        <w:ind w:left="360" w:hanging="360"/>
        <w:rPr>
          <w:rFonts w:ascii="Arial" w:hAnsi="Arial" w:eastAsia="Arial" w:cs="Arial"/>
          <w:i/>
          <w:iCs/>
          <w:sz w:val="22"/>
          <w:szCs w:val="22"/>
        </w:rPr>
      </w:pPr>
      <w:r>
        <w:rPr>
          <w:rFonts w:ascii="Arial" w:hAnsi="Arial" w:eastAsia="Arial" w:cs="Arial"/>
          <w:i/>
          <w:iCs/>
          <w:sz w:val="22"/>
          <w:szCs w:val="22"/>
        </w:rPr>
        <w:t xml:space="preserve">Привести текст в соответствие со схемой  ТФУ 4-5  :  БТФ1, 4 это бойлеры низкого давления, БТФ 2,3 это бойлеры высокого давления </w:t>
      </w:r>
    </w:p>
    <w:p>
      <w:pPr>
        <w:numPr>
          <w:ilvl w:val="0"/>
          <w:numId w:val="5"/>
        </w:numPr>
        <w:ind w:left="360" w:hanging="360"/>
        <w:rPr>
          <w:rFonts w:ascii="Arial" w:hAnsi="Arial" w:eastAsia="Arial" w:cs="Arial"/>
          <w:i/>
          <w:iCs/>
          <w:sz w:val="22"/>
          <w:szCs w:val="22"/>
        </w:rPr>
      </w:pPr>
      <w:r>
        <w:rPr>
          <w:rFonts w:ascii="Arial" w:hAnsi="Arial" w:eastAsia="Arial" w:cs="Arial"/>
          <w:i/>
          <w:iCs/>
          <w:sz w:val="22"/>
          <w:szCs w:val="22"/>
        </w:rPr>
        <w:t>Технические характеристики  бойлеров заменить на прилагаемые .</w:t>
      </w:r>
    </w:p>
    <w:p>
      <w:pPr>
        <w:numPr>
          <w:ilvl w:val="0"/>
          <w:numId w:val="0"/>
        </w:numPr>
        <w:ind w:left="360" w:firstLine="0"/>
        <w:rPr>
          <w:rFonts w:ascii="Arial" w:hAnsi="Arial" w:eastAsia="Arial" w:cs="Arial"/>
          <w:i/>
          <w:iCs/>
          <w:sz w:val="22"/>
          <w:szCs w:val="22"/>
        </w:rPr>
      </w:pPr>
      <w:r>
        <w:rPr>
          <w:rFonts w:ascii="Arial" w:hAnsi="Arial" w:eastAsia="Arial" w:cs="Arial"/>
          <w:i/>
          <w:iCs/>
          <w:sz w:val="22"/>
          <w:szCs w:val="22"/>
        </w:rPr>
      </w:r>
    </w:p>
    <w:p>
      <w:pPr>
        <w:numPr>
          <w:ilvl w:val="0"/>
          <w:numId w:val="0"/>
        </w:numPr>
        <w:ind w:left="360" w:firstLine="0"/>
        <w:rPr>
          <w:rFonts w:ascii="Arial" w:hAnsi="Arial" w:eastAsia="Arial" w:cs="Arial"/>
          <w:b/>
          <w:bCs/>
          <w:i/>
          <w:iCs/>
          <w:sz w:val="28"/>
          <w:szCs w:val="28"/>
        </w:rPr>
      </w:pPr>
      <w:r>
        <w:rPr>
          <w:rFonts w:ascii="Arial" w:hAnsi="Arial" w:eastAsia="Arial" w:cs="Arial"/>
          <w:b/>
          <w:bCs/>
          <w:i/>
          <w:iCs/>
          <w:sz w:val="28"/>
          <w:szCs w:val="28"/>
        </w:rPr>
        <w:t>3.</w:t>
      </w:r>
    </w:p>
    <w:p>
      <w:pPr>
        <w:numPr>
          <w:ilvl w:val="0"/>
          <w:numId w:val="0"/>
        </w:numPr>
        <w:ind w:left="360" w:firstLine="0"/>
        <w:rPr>
          <w:rFonts w:ascii="Arial" w:hAnsi="Arial" w:eastAsia="Arial" w:cs="Arial"/>
          <w:i/>
          <w:iCs/>
          <w:sz w:val="22"/>
          <w:szCs w:val="22"/>
        </w:rPr>
      </w:pPr>
      <w:r>
        <w:rPr>
          <w:rFonts w:ascii="Arial" w:hAnsi="Arial" w:eastAsia="Arial" w:cs="Arial"/>
          <w:i/>
          <w:iCs/>
          <w:sz w:val="22"/>
          <w:szCs w:val="22"/>
        </w:rPr>
        <w:t>Располагаемая мощность это мощность которую может выдать котельная при существующем положении.</w:t>
      </w:r>
    </w:p>
    <w:p>
      <w:pPr>
        <w:numPr>
          <w:ilvl w:val="0"/>
          <w:numId w:val="0"/>
        </w:numPr>
        <w:ind w:left="360" w:firstLine="0"/>
        <w:rPr>
          <w:rFonts w:ascii="Arial" w:hAnsi="Arial" w:eastAsia="Arial" w:cs="Arial"/>
          <w:i/>
          <w:iCs/>
          <w:sz w:val="22"/>
          <w:szCs w:val="22"/>
        </w:rPr>
      </w:pPr>
      <w:r>
        <w:rPr>
          <w:rFonts w:ascii="Arial" w:hAnsi="Arial" w:eastAsia="Arial" w:cs="Arial"/>
          <w:i/>
          <w:iCs/>
          <w:sz w:val="22"/>
          <w:szCs w:val="22"/>
        </w:rPr>
      </w:r>
    </w:p>
    <w:p>
      <w:pPr>
        <w:numPr>
          <w:ilvl w:val="0"/>
          <w:numId w:val="0"/>
        </w:numPr>
        <w:ind w:left="360" w:firstLine="0"/>
        <w:rPr>
          <w:rFonts w:ascii="Arial" w:hAnsi="Arial" w:eastAsia="Arial" w:cs="Arial"/>
          <w:i/>
          <w:iCs/>
          <w:sz w:val="22"/>
          <w:szCs w:val="22"/>
        </w:rPr>
      </w:pPr>
      <w:r>
        <w:rPr>
          <w:rFonts w:ascii="Arial" w:hAnsi="Arial" w:eastAsia="Arial" w:cs="Arial"/>
          <w:i/>
          <w:iCs/>
          <w:sz w:val="22"/>
          <w:szCs w:val="22"/>
        </w:rPr>
        <w:t>Прошу пояснить как при;</w:t>
      </w:r>
    </w:p>
    <w:p>
      <w:pPr>
        <w:numPr>
          <w:ilvl w:val="0"/>
          <w:numId w:val="5"/>
        </w:numPr>
        <w:ind w:left="360" w:hanging="360"/>
        <w:rPr>
          <w:rFonts w:ascii="Arial" w:hAnsi="Arial" w:eastAsia="Arial" w:cs="Arial"/>
          <w:i/>
          <w:iCs/>
          <w:sz w:val="22"/>
          <w:szCs w:val="22"/>
        </w:rPr>
      </w:pPr>
      <w:r>
        <w:rPr>
          <w:rFonts w:ascii="Arial" w:hAnsi="Arial" w:eastAsia="Arial" w:cs="Arial"/>
          <w:i/>
          <w:iCs/>
          <w:sz w:val="22"/>
          <w:szCs w:val="22"/>
        </w:rPr>
        <w:t xml:space="preserve"> существующей схеме выдачи тепловой мощности </w:t>
      </w:r>
    </w:p>
    <w:p>
      <w:pPr>
        <w:numPr>
          <w:ilvl w:val="0"/>
          <w:numId w:val="5"/>
        </w:numPr>
        <w:ind w:left="360" w:hanging="360"/>
        <w:rPr>
          <w:rFonts w:ascii="Arial" w:hAnsi="Arial" w:eastAsia="Arial" w:cs="Arial"/>
          <w:i/>
          <w:iCs/>
          <w:sz w:val="22"/>
          <w:szCs w:val="22"/>
        </w:rPr>
      </w:pPr>
      <w:r>
        <w:rPr>
          <w:rFonts w:ascii="Arial" w:hAnsi="Arial" w:eastAsia="Arial" w:cs="Arial"/>
          <w:i/>
          <w:iCs/>
          <w:sz w:val="22"/>
          <w:szCs w:val="22"/>
        </w:rPr>
        <w:t>существующих  сетевых насосах</w:t>
      </w:r>
    </w:p>
    <w:p>
      <w:pPr>
        <w:numPr>
          <w:ilvl w:val="0"/>
          <w:numId w:val="5"/>
        </w:numPr>
        <w:ind w:left="360" w:hanging="360"/>
        <w:rPr>
          <w:rFonts w:ascii="Arial" w:hAnsi="Arial" w:eastAsia="Arial" w:cs="Arial"/>
          <w:i/>
          <w:iCs/>
          <w:sz w:val="22"/>
          <w:szCs w:val="22"/>
        </w:rPr>
      </w:pPr>
      <w:r>
        <w:rPr>
          <w:rFonts w:ascii="Arial" w:hAnsi="Arial" w:eastAsia="Arial" w:cs="Arial"/>
          <w:i/>
          <w:iCs/>
          <w:sz w:val="22"/>
          <w:szCs w:val="22"/>
        </w:rPr>
        <w:t>действующем температурном графике  110-70</w:t>
      </w:r>
    </w:p>
    <w:p>
      <w:pPr>
        <w:numPr>
          <w:ilvl w:val="0"/>
          <w:numId w:val="0"/>
        </w:numPr>
        <w:ind w:left="360" w:firstLine="0"/>
        <w:rPr>
          <w:rFonts w:ascii="Arial" w:hAnsi="Arial" w:eastAsia="Arial" w:cs="Arial"/>
          <w:i/>
          <w:iCs/>
          <w:sz w:val="22"/>
          <w:szCs w:val="22"/>
        </w:rPr>
      </w:pPr>
      <w:r>
        <w:rPr>
          <w:rFonts w:ascii="Arial" w:hAnsi="Arial" w:eastAsia="Arial" w:cs="Arial"/>
          <w:i/>
          <w:iCs/>
          <w:sz w:val="22"/>
          <w:szCs w:val="22"/>
        </w:rPr>
      </w:r>
    </w:p>
    <w:p>
      <w:pPr>
        <w:numPr>
          <w:ilvl w:val="0"/>
          <w:numId w:val="0"/>
        </w:numPr>
        <w:ind w:left="360" w:hanging="360"/>
        <w:rPr>
          <w:rFonts w:ascii="Arial" w:hAnsi="Arial" w:eastAsia="Arial" w:cs="Arial"/>
          <w:i/>
          <w:iCs/>
          <w:sz w:val="22"/>
          <w:szCs w:val="22"/>
        </w:rPr>
      </w:pPr>
      <w:r>
        <w:rPr>
          <w:rFonts w:ascii="Arial" w:hAnsi="Arial" w:eastAsia="Arial" w:cs="Arial"/>
          <w:b/>
          <w:bCs/>
          <w:i/>
          <w:iCs/>
          <w:sz w:val="22"/>
          <w:szCs w:val="22"/>
        </w:rPr>
        <w:t xml:space="preserve">Располагаемая </w:t>
      </w:r>
      <w:r>
        <w:rPr>
          <w:rFonts w:ascii="Arial" w:hAnsi="Arial" w:eastAsia="Arial" w:cs="Arial"/>
          <w:i/>
          <w:iCs/>
          <w:sz w:val="22"/>
          <w:szCs w:val="22"/>
        </w:rPr>
        <w:t>мощность котельной  Воронежское шоссе получилась равной  84,910 Гкал/час</w:t>
      </w:r>
    </w:p>
    <w:p>
      <w:pPr>
        <w:numPr>
          <w:ilvl w:val="0"/>
          <w:numId w:val="0"/>
        </w:numPr>
        <w:ind w:left="360" w:hanging="360"/>
        <w:rPr>
          <w:rFonts w:ascii="Arial" w:hAnsi="Arial" w:eastAsia="Arial" w:cs="Arial"/>
          <w:i/>
          <w:iCs/>
          <w:sz w:val="22"/>
          <w:szCs w:val="22"/>
        </w:rPr>
      </w:pPr>
      <w:r>
        <w:rPr>
          <w:rFonts w:ascii="Arial" w:hAnsi="Arial" w:eastAsia="Arial" w:cs="Arial"/>
          <w:i/>
          <w:iCs/>
          <w:sz w:val="22"/>
          <w:szCs w:val="22"/>
        </w:rPr>
      </w:r>
    </w:p>
    <w:p>
      <w:pPr>
        <w:numPr>
          <w:ilvl w:val="0"/>
          <w:numId w:val="0"/>
        </w:numPr>
        <w:ind w:left="360" w:hanging="360"/>
        <w:rPr>
          <w:rFonts w:ascii="Arial" w:hAnsi="Arial" w:eastAsia="Arial" w:cs="Arial"/>
          <w:b/>
          <w:bCs/>
          <w:i/>
          <w:iCs/>
          <w:sz w:val="28"/>
          <w:szCs w:val="28"/>
        </w:rPr>
      </w:pPr>
      <w:r>
        <w:rPr>
          <w:rFonts w:ascii="Arial" w:hAnsi="Arial" w:eastAsia="Arial" w:cs="Arial"/>
          <w:b/>
          <w:bCs/>
          <w:i/>
          <w:iCs/>
          <w:sz w:val="28"/>
          <w:szCs w:val="28"/>
        </w:rPr>
        <w:t>4.</w:t>
      </w:r>
    </w:p>
    <w:p>
      <w:pPr>
        <w:numPr>
          <w:ilvl w:val="0"/>
          <w:numId w:val="0"/>
        </w:numPr>
        <w:ind w:left="360" w:hanging="360"/>
        <w:rPr>
          <w:rFonts w:ascii="Arial" w:hAnsi="Arial" w:eastAsia="Arial" w:cs="Arial"/>
          <w:i/>
          <w:iCs/>
          <w:sz w:val="22"/>
          <w:szCs w:val="22"/>
        </w:rPr>
      </w:pPr>
      <w:r>
        <w:rPr>
          <w:rFonts w:ascii="Arial" w:hAnsi="Arial" w:eastAsia="Arial" w:cs="Arial"/>
          <w:i/>
          <w:iCs/>
          <w:sz w:val="22"/>
          <w:szCs w:val="22"/>
        </w:rPr>
        <w:t>В соответствии с:</w:t>
      </w:r>
    </w:p>
    <w:p>
      <w:pPr>
        <w:pStyle w:val="1"/>
        <w:numPr>
          <w:ilvl w:val="0"/>
          <w:numId w:val="0"/>
        </w:numPr>
        <w:ind w:left="360" w:hanging="360"/>
        <w:spacing w:line="312" w:lineRule="atLeast"/>
        <w:jc w:val="center"/>
        <w:pBdr>
          <w:top w:val="nil" w:sz="0" w:space="0" w:color="000000" tmln="20, 20, 20, 0"/>
          <w:left w:val="nil" w:sz="0" w:space="0" w:color="000000" tmln="20, 20, 20, 0"/>
          <w:bottom w:val="nil" w:sz="0" w:space="0" w:color="000000" tmln="20, 20, 20, 0"/>
          <w:right w:val="nil" w:sz="0" w:space="0" w:color="000000" tmln="20, 20, 20, 0"/>
          <w:between w:val="nil" w:sz="0" w:space="0" w:color="000000" tmln="20, 20, 20, 0"/>
        </w:pBdr>
        <w:shd w:val="none"/>
        <w:rPr>
          <w:rFonts w:ascii="Times New Roman" w:hAnsi="Times New Roman"/>
          <w:b w:val="0"/>
          <w:color w:val="333333"/>
          <w:sz w:val="30"/>
        </w:rPr>
      </w:pPr>
      <w:r>
        <w:rPr>
          <w:rFonts w:ascii="Times New Roman" w:hAnsi="Times New Roman"/>
          <w:b w:val="0"/>
          <w:color w:val="333333"/>
          <w:sz w:val="30"/>
        </w:rPr>
        <w:t>Федеральный закон от 27.07.2010 N 190-ФЗ</w:t>
      </w:r>
    </w:p>
    <w:p>
      <w:pPr>
        <w:spacing/>
        <w:jc w:val="center"/>
        <w:keepNext/>
        <w:outlineLvl w:val="0"/>
        <w:keepLines/>
        <w:pBdr>
          <w:top w:val="nil" w:sz="0" w:space="0" w:color="000000" tmln="20, 20, 20, 0"/>
          <w:left w:val="nil" w:sz="0" w:space="0" w:color="000000" tmln="20, 20, 20, 0"/>
          <w:bottom w:val="nil" w:sz="0" w:space="0" w:color="000000" tmln="20, 20, 20, 0"/>
          <w:right w:val="nil" w:sz="0" w:space="0" w:color="000000" tmln="20, 20, 20, 0"/>
          <w:between w:val="nil" w:sz="0" w:space="0" w:color="000000" tmln="20, 20, 20, 0"/>
        </w:pBdr>
        <w:shd w:val="none"/>
        <w:rPr>
          <w:rFonts w:cs="Arial"/>
          <w:b w:val="0"/>
          <w:bCs/>
          <w:sz w:val="20"/>
          <w:szCs w:val="36"/>
        </w:rPr>
      </w:pPr>
      <w:r>
        <w:rPr>
          <w:rFonts w:cs="Arial"/>
          <w:b w:val="0"/>
          <w:bCs/>
          <w:color w:val="333333"/>
          <w:sz w:val="24"/>
          <w:szCs w:val="36"/>
        </w:rPr>
        <w:t>"О теплоснабжении"</w:t>
      </w:r>
      <w:r>
        <w:rPr>
          <w:rFonts w:cs="Arial"/>
          <w:b w:val="0"/>
          <w:bCs/>
          <w:sz w:val="20"/>
          <w:szCs w:val="36"/>
        </w:rPr>
      </w:r>
    </w:p>
    <w:p>
      <w:pPr>
        <w:numPr>
          <w:ilvl w:val="0"/>
          <w:numId w:val="0"/>
        </w:numPr>
        <w:ind w:left="283" w:hanging="360"/>
        <w:rPr>
          <w:rFonts w:ascii="Arial" w:hAnsi="Arial" w:eastAsia="Arial" w:cs="Arial"/>
          <w:i/>
          <w:iCs/>
          <w:color w:val="808080"/>
          <w:sz w:val="24"/>
          <w:szCs w:val="22"/>
        </w:rPr>
      </w:pPr>
      <w:r>
        <w:rPr>
          <w:b/>
          <w:bCs/>
          <w:color w:val="000000"/>
          <w:sz w:val="24"/>
        </w:rPr>
        <w:t>схема теплоснабжения</w:t>
      </w:r>
      <w:r>
        <w:rPr>
          <w:color w:val="000000"/>
          <w:sz w:val="24"/>
        </w:rPr>
        <w:t xml:space="preserve"> - документ, содержащий предпроектные материалы по обоснованию эффективного и безопасного функционирования систем теплоснабжения поселения, муниципального округа, городского округа,... </w:t>
      </w:r>
      <w:r>
        <w:rPr>
          <w:color w:val="808080"/>
          <w:sz w:val="24"/>
        </w:rPr>
        <w:t>(в ред. Федеральных законов </w:t>
      </w:r>
      <w:hyperlink r:id="rId8" w:history="1">
        <w:r>
          <w:rPr>
            <w:rStyle w:val=""/>
            <w:sz w:val="24"/>
          </w:rPr>
          <w:t>от 29.07.2017 N 279-ФЗ</w:t>
        </w:r>
      </w:hyperlink>
      <w:r>
        <w:rPr>
          <w:rFonts w:ascii="Arial" w:hAnsi="Arial" w:eastAsia="Arial" w:cs="Arial"/>
          <w:i/>
          <w:iCs/>
          <w:color w:val="808080"/>
          <w:sz w:val="24"/>
          <w:szCs w:val="22"/>
        </w:rPr>
        <w:t>, </w:t>
      </w:r>
      <w:hyperlink r:id="rId9" w:history="1">
        <w:r>
          <w:rPr>
            <w:rStyle w:val=""/>
            <w:rFonts w:ascii="Arial" w:hAnsi="Arial" w:eastAsia="Arial" w:cs="Arial"/>
            <w:i/>
            <w:iCs/>
            <w:sz w:val="24"/>
            <w:szCs w:val="22"/>
          </w:rPr>
          <w:t>от 19.07.2018 N 220-ФЗ</w:t>
        </w:r>
      </w:hyperlink>
      <w:r>
        <w:rPr>
          <w:rFonts w:ascii="Arial" w:hAnsi="Arial" w:eastAsia="Arial" w:cs="Arial"/>
          <w:i/>
          <w:iCs/>
          <w:color w:val="808080"/>
          <w:sz w:val="24"/>
          <w:szCs w:val="22"/>
        </w:rPr>
        <w:t>, </w:t>
      </w:r>
      <w:hyperlink r:id="rId10" w:history="1">
        <w:r>
          <w:rPr>
            <w:rStyle w:val=""/>
            <w:rFonts w:ascii="Arial" w:hAnsi="Arial" w:eastAsia="Arial" w:cs="Arial"/>
            <w:i/>
            <w:iCs/>
            <w:sz w:val="24"/>
            <w:szCs w:val="22"/>
          </w:rPr>
          <w:t>от 26.02.2024 N 34-ФЗ</w:t>
        </w:r>
      </w:hyperlink>
      <w:r>
        <w:rPr>
          <w:rFonts w:ascii="Arial" w:hAnsi="Arial" w:eastAsia="Arial" w:cs="Arial"/>
          <w:i/>
          <w:iCs/>
          <w:color w:val="808080"/>
          <w:sz w:val="24"/>
          <w:szCs w:val="22"/>
        </w:rPr>
        <w:t>)</w:t>
      </w:r>
    </w:p>
    <w:p>
      <w:pPr>
        <w:numPr>
          <w:ilvl w:val="0"/>
          <w:numId w:val="0"/>
        </w:numPr>
        <w:ind w:left="283" w:hanging="360"/>
        <w:rPr>
          <w:rFonts w:ascii="Arial" w:hAnsi="Arial" w:eastAsia="Arial" w:cs="Arial"/>
          <w:b/>
          <w:bCs/>
          <w:i/>
          <w:iCs/>
          <w:sz w:val="22"/>
          <w:szCs w:val="22"/>
        </w:rPr>
      </w:pPr>
      <w:r>
        <w:rPr>
          <w:rFonts w:ascii="Arial" w:hAnsi="Arial" w:eastAsia="Arial" w:cs="Arial"/>
          <w:b/>
          <w:bCs/>
          <w:i/>
          <w:iCs/>
          <w:sz w:val="22"/>
          <w:szCs w:val="22"/>
        </w:rPr>
      </w:r>
    </w:p>
    <w:p>
      <w:pPr>
        <w:numPr>
          <w:ilvl w:val="0"/>
          <w:numId w:val="0"/>
        </w:numPr>
        <w:ind w:left="283" w:hanging="360"/>
        <w:pBdr>
          <w:top w:val="nil" w:sz="0" w:space="0" w:color="000000" tmln="20, 20, 20, 0"/>
          <w:left w:val="nil" w:sz="0" w:space="0" w:color="000000" tmln="20, 20, 20, 0"/>
          <w:bottom w:val="nil" w:sz="0" w:space="0" w:color="000000" tmln="20, 20, 20, 0"/>
          <w:right w:val="nil" w:sz="0" w:space="0" w:color="000000" tmln="20, 20, 20, 0"/>
          <w:between w:val="nil" w:sz="0" w:space="0" w:color="000000" tmln="20, 20, 20, 0"/>
        </w:pBdr>
        <w:shd w:val="none"/>
        <w:rPr>
          <w:color w:val="000000"/>
          <w:sz w:val="24"/>
        </w:rPr>
      </w:pPr>
      <w:r>
        <w:rPr>
          <w:b/>
          <w:bCs/>
          <w:color w:val="808080"/>
          <w:sz w:val="18"/>
        </w:rPr>
        <w:t>15)</w:t>
      </w:r>
      <w:r>
        <w:rPr>
          <w:b/>
          <w:bCs/>
          <w:color w:val="000000"/>
          <w:sz w:val="24"/>
        </w:rPr>
        <w:t>режим потребления тепловой энергии</w:t>
      </w:r>
      <w:r>
        <w:rPr>
          <w:color w:val="000000"/>
          <w:sz w:val="24"/>
        </w:rPr>
        <w:t xml:space="preserve"> - процесс потребления тепловой энергии, теплоносителя с соблюдением потребителем тепловой энергии обязательных характеристик этого процесса </w:t>
      </w:r>
      <w:r>
        <w:rPr>
          <w:b/>
          <w:bCs/>
          <w:color w:val="000000"/>
          <w:sz w:val="28"/>
          <w:szCs w:val="28"/>
        </w:rPr>
        <w:t>в соответствии с нормативными правовыми актами</w:t>
      </w:r>
      <w:r>
        <w:rPr>
          <w:color w:val="000000"/>
          <w:sz w:val="24"/>
        </w:rPr>
        <w:t xml:space="preserve">, </w:t>
      </w:r>
    </w:p>
    <w:p>
      <w:pPr>
        <w:numPr>
          <w:ilvl w:val="0"/>
          <w:numId w:val="0"/>
        </w:numPr>
        <w:ind w:left="283" w:hanging="360"/>
        <w:pBdr>
          <w:top w:val="nil" w:sz="0" w:space="0" w:color="000000" tmln="20, 20, 20, 0"/>
          <w:left w:val="nil" w:sz="0" w:space="0" w:color="000000" tmln="20, 20, 20, 0"/>
          <w:bottom w:val="nil" w:sz="0" w:space="0" w:color="000000" tmln="20, 20, 20, 0"/>
          <w:right w:val="nil" w:sz="0" w:space="0" w:color="000000" tmln="20, 20, 20, 0"/>
          <w:between w:val="nil" w:sz="0" w:space="0" w:color="000000" tmln="20, 20, 2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</w:r>
    </w:p>
    <w:p>
      <w:pPr>
        <w:numPr>
          <w:ilvl w:val="0"/>
          <w:numId w:val="0"/>
        </w:numPr>
        <w:ind w:left="283" w:hanging="360"/>
        <w:pBdr>
          <w:top w:val="nil" w:sz="0" w:space="0" w:color="000000" tmln="20, 20, 20, 0"/>
          <w:left w:val="nil" w:sz="0" w:space="0" w:color="000000" tmln="20, 20, 20, 0"/>
          <w:bottom w:val="nil" w:sz="0" w:space="0" w:color="000000" tmln="20, 20, 20, 0"/>
          <w:right w:val="nil" w:sz="0" w:space="0" w:color="000000" tmln="20, 20, 20, 0"/>
          <w:between w:val="nil" w:sz="0" w:space="0" w:color="000000" tmln="20, 20, 20, 0"/>
        </w:pBdr>
        <w:shd w:val="none"/>
        <w:rPr>
          <w:rFonts w:ascii="Arial" w:hAnsi="Arial" w:eastAsia="Arial" w:cs="Arial"/>
          <w:i/>
          <w:iCs/>
          <w:color w:val="000000"/>
          <w:sz w:val="24"/>
        </w:rPr>
      </w:pPr>
      <w:r>
        <w:rPr>
          <w:rFonts w:ascii="Arial" w:hAnsi="Arial" w:eastAsia="Arial" w:cs="Arial"/>
          <w:i/>
          <w:iCs/>
          <w:color w:val="000000"/>
          <w:sz w:val="24"/>
        </w:rPr>
        <w:t>«Схема...» будет утвеждена  Главой администрации г.Нововоронежа.</w:t>
      </w:r>
    </w:p>
    <w:p>
      <w:pPr>
        <w:numPr>
          <w:ilvl w:val="0"/>
          <w:numId w:val="0"/>
        </w:numPr>
        <w:ind w:left="283" w:hanging="360"/>
        <w:pBdr>
          <w:top w:val="nil" w:sz="0" w:space="0" w:color="000000" tmln="20, 20, 20, 0"/>
          <w:left w:val="nil" w:sz="0" w:space="0" w:color="000000" tmln="20, 20, 20, 0"/>
          <w:bottom w:val="nil" w:sz="0" w:space="0" w:color="000000" tmln="20, 20, 20, 0"/>
          <w:right w:val="nil" w:sz="0" w:space="0" w:color="000000" tmln="20, 20, 20, 0"/>
          <w:between w:val="nil" w:sz="0" w:space="0" w:color="000000" tmln="20, 20, 20, 0"/>
        </w:pBdr>
        <w:shd w:val="none"/>
        <w:rPr>
          <w:rFonts w:ascii="Arial" w:hAnsi="Arial" w:eastAsia="Arial" w:cs="Arial"/>
          <w:i/>
          <w:iCs/>
          <w:color w:val="000000"/>
          <w:sz w:val="24"/>
        </w:rPr>
      </w:pPr>
      <w:r>
        <w:rPr>
          <w:rFonts w:ascii="Arial" w:hAnsi="Arial" w:eastAsia="Arial" w:cs="Arial"/>
          <w:i/>
          <w:iCs/>
          <w:color w:val="000000"/>
          <w:sz w:val="24"/>
        </w:rPr>
        <w:t>Следовательно теплоснабжающие организации обязаны соблюдать температурный график  указанный в  «Схеме ...».</w:t>
      </w:r>
    </w:p>
    <w:p>
      <w:pPr>
        <w:numPr>
          <w:ilvl w:val="0"/>
          <w:numId w:val="0"/>
        </w:numPr>
        <w:ind w:left="283" w:hanging="360"/>
        <w:pBdr>
          <w:top w:val="nil" w:sz="0" w:space="0" w:color="000000" tmln="20, 20, 20, 0"/>
          <w:left w:val="nil" w:sz="0" w:space="0" w:color="000000" tmln="20, 20, 20, 0"/>
          <w:bottom w:val="nil" w:sz="0" w:space="0" w:color="000000" tmln="20, 20, 20, 0"/>
          <w:right w:val="nil" w:sz="0" w:space="0" w:color="000000" tmln="20, 20, 20, 0"/>
          <w:between w:val="nil" w:sz="0" w:space="0" w:color="000000" tmln="20, 20, 20, 0"/>
        </w:pBdr>
        <w:shd w:val="none"/>
        <w:rPr>
          <w:rFonts w:ascii="Arial" w:hAnsi="Arial" w:eastAsia="Arial" w:cs="Arial"/>
          <w:i/>
          <w:iCs/>
          <w:color w:val="000000"/>
          <w:sz w:val="24"/>
        </w:rPr>
      </w:pPr>
      <w:r>
        <w:rPr>
          <w:rFonts w:ascii="Arial" w:hAnsi="Arial" w:eastAsia="Arial" w:cs="Arial"/>
          <w:i/>
          <w:iCs/>
          <w:color w:val="000000"/>
          <w:sz w:val="24"/>
        </w:rPr>
        <w:t>Предлагаю привести температурные графики привести в соответствие фактическими:  110-70  вместо 150-70, либо показать на графике 150-70 срезку на 110 град.</w:t>
      </w:r>
    </w:p>
    <w:p>
      <w:pPr>
        <w:numPr>
          <w:ilvl w:val="0"/>
          <w:numId w:val="0"/>
        </w:numPr>
        <w:ind w:left="283" w:hanging="360"/>
        <w:pBdr>
          <w:top w:val="nil" w:sz="0" w:space="0" w:color="000000" tmln="20, 20, 20, 0"/>
          <w:left w:val="nil" w:sz="0" w:space="0" w:color="000000" tmln="20, 20, 20, 0"/>
          <w:bottom w:val="nil" w:sz="0" w:space="0" w:color="000000" tmln="20, 20, 20, 0"/>
          <w:right w:val="nil" w:sz="0" w:space="0" w:color="000000" tmln="20, 20, 20, 0"/>
          <w:between w:val="nil" w:sz="0" w:space="0" w:color="000000" tmln="20, 20, 20, 0"/>
        </w:pBdr>
        <w:shd w:val="none"/>
        <w:rPr>
          <w:rFonts w:ascii="Arial" w:hAnsi="Arial" w:eastAsia="Arial" w:cs="Arial"/>
          <w:b/>
          <w:bCs/>
          <w:i/>
          <w:iCs/>
          <w:color w:val="000000"/>
          <w:sz w:val="28"/>
          <w:szCs w:val="28"/>
        </w:rPr>
      </w:pPr>
      <w:r>
        <w:rPr>
          <w:rFonts w:ascii="Arial" w:hAnsi="Arial" w:eastAsia="Arial" w:cs="Arial"/>
          <w:b/>
          <w:bCs/>
          <w:i/>
          <w:iCs/>
          <w:color w:val="000000"/>
          <w:sz w:val="28"/>
          <w:szCs w:val="28"/>
        </w:rPr>
        <w:t>5.</w:t>
      </w:r>
    </w:p>
    <w:p>
      <w:pPr>
        <w:numPr>
          <w:ilvl w:val="0"/>
          <w:numId w:val="0"/>
        </w:numPr>
        <w:ind w:left="283" w:hanging="360"/>
        <w:widowControl/>
        <w:rPr>
          <w:rFonts w:eastAsia="Times New Roman"/>
          <w:i/>
          <w:kern w:val="0"/>
          <w:sz w:val="28"/>
          <w:szCs w:val="28"/>
          <w:lang w:val="ru-ru" w:bidi="ar-sa"/>
        </w:rPr>
      </w:pPr>
      <w:r>
        <w:rPr>
          <w:rFonts w:eastAsia="Times New Roman"/>
          <w:i/>
          <w:kern w:val="0"/>
          <w:sz w:val="28"/>
          <w:szCs w:val="28"/>
          <w:lang w:val="ru-ru" w:bidi="ar-sa"/>
        </w:rPr>
        <w:t>Таблица 2.3.1.</w:t>
      </w:r>
    </w:p>
    <w:p>
      <w:pPr>
        <w:numPr>
          <w:ilvl w:val="0"/>
          <w:numId w:val="0"/>
        </w:numPr>
        <w:ind w:left="283" w:hanging="360"/>
        <w:pBdr>
          <w:top w:val="nil" w:sz="0" w:space="0" w:color="000000" tmln="20, 20, 20, 0"/>
          <w:left w:val="nil" w:sz="0" w:space="0" w:color="000000" tmln="20, 20, 20, 0"/>
          <w:bottom w:val="nil" w:sz="0" w:space="0" w:color="000000" tmln="20, 20, 20, 0"/>
          <w:right w:val="nil" w:sz="0" w:space="0" w:color="000000" tmln="20, 20, 20, 0"/>
          <w:between w:val="nil" w:sz="0" w:space="0" w:color="000000" tmln="20, 20, 20, 0"/>
        </w:pBdr>
        <w:shd w:val="none"/>
        <w:rPr>
          <w:rFonts w:eastAsia="Times New Roman"/>
          <w:kern w:val="0"/>
          <w:sz w:val="24"/>
          <w:lang w:val="ru-ru" w:bidi="ar-sa"/>
        </w:rPr>
      </w:pPr>
      <w:bookmarkStart w:id="1" w:name="_Hlk92716144"/>
      <w:bookmarkEnd w:id="1"/>
      <w:r>
        <w:rPr>
          <w:rFonts w:eastAsia="Times New Roman"/>
          <w:kern w:val="0"/>
          <w:sz w:val="24"/>
          <w:lang w:val="ru-ru" w:bidi="ar-sa"/>
        </w:rPr>
        <w:t>Прогнозные показатели жилищного фонда.</w:t>
      </w:r>
    </w:p>
    <w:p>
      <w:pPr>
        <w:numPr>
          <w:ilvl w:val="0"/>
          <w:numId w:val="0"/>
        </w:numPr>
        <w:ind w:left="283" w:hanging="360"/>
        <w:pBdr>
          <w:top w:val="nil" w:sz="0" w:space="0" w:color="000000" tmln="20, 20, 20, 0"/>
          <w:left w:val="nil" w:sz="0" w:space="0" w:color="000000" tmln="20, 20, 20, 0"/>
          <w:bottom w:val="nil" w:sz="0" w:space="0" w:color="000000" tmln="20, 20, 20, 0"/>
          <w:right w:val="nil" w:sz="0" w:space="0" w:color="000000" tmln="20, 20, 20, 0"/>
          <w:between w:val="nil" w:sz="0" w:space="0" w:color="000000" tmln="20, 20, 20, 0"/>
        </w:pBdr>
        <w:shd w:val="none"/>
        <w:rPr>
          <w:rFonts w:ascii="Arial" w:hAnsi="Arial" w:eastAsia="Arial" w:cs="Arial"/>
          <w:i/>
          <w:iCs/>
          <w:color w:val="000000"/>
          <w:sz w:val="24"/>
        </w:rPr>
      </w:pPr>
      <w:r>
        <w:rPr>
          <w:rFonts w:ascii="Arial" w:hAnsi="Arial" w:eastAsia="Arial" w:cs="Arial"/>
          <w:i/>
          <w:iCs/>
          <w:color w:val="000000"/>
          <w:sz w:val="24"/>
        </w:rPr>
        <w:t>Удалить как  не реальную</w:t>
      </w:r>
    </w:p>
    <w:p>
      <w:pPr>
        <w:numPr>
          <w:ilvl w:val="0"/>
          <w:numId w:val="0"/>
        </w:numPr>
        <w:ind w:left="283" w:hanging="360"/>
        <w:pBdr>
          <w:top w:val="nil" w:sz="0" w:space="0" w:color="000000" tmln="20, 20, 20, 0"/>
          <w:left w:val="nil" w:sz="0" w:space="0" w:color="000000" tmln="20, 20, 20, 0"/>
          <w:bottom w:val="nil" w:sz="0" w:space="0" w:color="000000" tmln="20, 20, 20, 0"/>
          <w:right w:val="nil" w:sz="0" w:space="0" w:color="000000" tmln="20, 20, 20, 0"/>
          <w:between w:val="nil" w:sz="0" w:space="0" w:color="000000" tmln="20, 20, 20, 0"/>
        </w:pBdr>
        <w:shd w:val="none"/>
        <w:rPr>
          <w:rFonts w:ascii="Arial" w:hAnsi="Arial" w:eastAsia="Arial" w:cs="Arial"/>
          <w:i/>
          <w:iCs/>
          <w:color w:val="000000"/>
          <w:sz w:val="24"/>
        </w:rPr>
      </w:pPr>
      <w:r>
        <w:rPr>
          <w:rFonts w:ascii="Arial" w:hAnsi="Arial" w:eastAsia="Arial" w:cs="Arial"/>
          <w:i/>
          <w:iCs/>
          <w:color w:val="000000"/>
          <w:sz w:val="24"/>
        </w:rPr>
      </w:r>
    </w:p>
    <w:p>
      <w:pPr>
        <w:numPr>
          <w:ilvl w:val="0"/>
          <w:numId w:val="0"/>
        </w:numPr>
        <w:ind w:left="283" w:hanging="360"/>
        <w:pBdr>
          <w:top w:val="nil" w:sz="0" w:space="0" w:color="000000" tmln="20, 20, 20, 0"/>
          <w:left w:val="nil" w:sz="0" w:space="0" w:color="000000" tmln="20, 20, 20, 0"/>
          <w:bottom w:val="nil" w:sz="0" w:space="0" w:color="000000" tmln="20, 20, 20, 0"/>
          <w:right w:val="nil" w:sz="0" w:space="0" w:color="000000" tmln="20, 20, 20, 0"/>
          <w:between w:val="nil" w:sz="0" w:space="0" w:color="000000" tmln="20, 20, 20, 0"/>
        </w:pBdr>
        <w:shd w:val="none"/>
        <w:rPr>
          <w:rFonts w:ascii="Arial" w:hAnsi="Arial" w:eastAsia="Arial" w:cs="Arial"/>
          <w:i/>
          <w:iCs/>
          <w:color w:val="000000"/>
          <w:sz w:val="24"/>
        </w:rPr>
      </w:pPr>
      <w:r>
        <w:rPr>
          <w:rFonts w:ascii="Arial" w:hAnsi="Arial" w:eastAsia="Arial" w:cs="Arial"/>
          <w:i/>
          <w:iCs/>
          <w:color w:val="000000"/>
          <w:sz w:val="24"/>
        </w:rPr>
        <w:t>Сотниов А. 23.06.24 г.</w:t>
      </w:r>
    </w:p>
    <w:p>
      <w:pPr>
        <w:numPr>
          <w:ilvl w:val="0"/>
          <w:numId w:val="0"/>
        </w:numPr>
        <w:ind w:left="283" w:hanging="360"/>
        <w:pBdr>
          <w:top w:val="nil" w:sz="0" w:space="0" w:color="000000" tmln="20, 20, 20, 0"/>
          <w:left w:val="nil" w:sz="0" w:space="0" w:color="000000" tmln="20, 20, 20, 0"/>
          <w:bottom w:val="nil" w:sz="0" w:space="0" w:color="000000" tmln="20, 20, 20, 0"/>
          <w:right w:val="nil" w:sz="0" w:space="0" w:color="000000" tmln="20, 20, 20, 0"/>
          <w:between w:val="nil" w:sz="0" w:space="0" w:color="000000" tmln="20, 20, 20, 0"/>
        </w:pBdr>
        <w:shd w:val="none"/>
        <w:rPr>
          <w:rFonts w:ascii="Arial" w:hAnsi="Arial" w:eastAsia="Arial" w:cs="Arial"/>
          <w:i/>
          <w:iCs/>
          <w:color w:val="000000"/>
          <w:sz w:val="24"/>
        </w:rPr>
      </w:pPr>
      <w:r>
        <w:rPr>
          <w:rFonts w:ascii="Arial" w:hAnsi="Arial" w:eastAsia="Arial" w:cs="Arial"/>
          <w:i/>
          <w:iCs/>
          <w:color w:val="000000"/>
          <w:sz w:val="24"/>
        </w:rPr>
        <w:t>т. 8-920-403-80-04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continuous"/>
      <w:pgSz w:h="16839" w:w="11907"/>
      <w:pgMar w:left="1134" w:top="567" w:right="398" w:bottom="1134"/>
      <w:paperSrc w:first="0" w:other="0"/>
      <w:tmGutter w:val="1"/>
      <w:mirrorMargins w:val="0"/>
      <w:tmSection w:h="-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 Light">
    <w:panose1 w:val="020F0302020204030204"/>
    <w:charset w:val="cc"/>
    <w:family w:val="swiss"/>
    <w:pitch w:val="default"/>
  </w:font>
  <w:font w:name="AMGDT">
    <w:panose1 w:val="02000400000000000000"/>
    <w:charset w:val="00"/>
    <w:family w:val="auto"/>
    <w:pitch w:val="default"/>
  </w:font>
  <w:font w:name="AcadEref">
    <w:panose1 w:val="02000500000000020003"/>
    <w:charset w:val="00"/>
    <w:family w:val="auto"/>
    <w:pitch w:val="default"/>
  </w:font>
  <w:font w:name="AIGDT">
    <w:panose1 w:val="00000400000000000000"/>
    <w:charset w:val="02"/>
    <w:family w:val="auto"/>
    <w:pitch w:val="default"/>
  </w:font>
  <w:font w:name="AmdtSymbols">
    <w:panose1 w:val="02000500000000020004"/>
    <w:charset w:val="00"/>
    <w:family w:val="auto"/>
    <w:pitch w:val="default"/>
  </w:font>
  <w:font w:name="Arial Black">
    <w:panose1 w:val="020B0A04020102020204"/>
    <w:charset w:val="cc"/>
    <w:family w:val="swiss"/>
    <w:pitch w:val="default"/>
  </w:font>
  <w:font w:name="BankGothic Lt BT">
    <w:panose1 w:val="020B0607020203060204"/>
    <w:charset w:val="00"/>
    <w:family w:val="swiss"/>
    <w:pitch w:val="default"/>
  </w:font>
  <w:font w:name="BankGothic Md BT">
    <w:panose1 w:val="020B0807020203060204"/>
    <w:charset w:val="00"/>
    <w:family w:val="swiss"/>
    <w:pitch w:val="default"/>
  </w:font>
  <w:font w:name="Calibri">
    <w:panose1 w:val="020F0502020204030204"/>
    <w:charset w:val="cc"/>
    <w:family w:val="swiss"/>
    <w:pitch w:val="default"/>
  </w:font>
  <w:font w:name="Wingdings">
    <w:panose1 w:val="05000000000000000000"/>
    <w:charset w:val="02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hybridMultilevel"/>
    <w:name w:val="Нумерованный список 9"/>
    <w:lvl w:ilvl="0">
      <w:start w:val="1"/>
      <w:numFmt w:val="decimal"/>
      <w:suff w:val="tab"/>
      <w:lvlText w:val="%1"/>
      <w:lvlJc w:val="left"/>
      <w:pPr>
        <w:ind w:left="0" w:hanging="0"/>
      </w:pPr>
      <w:rPr/>
    </w:lvl>
    <w:lvl w:ilvl="1">
      <w:start w:val="1"/>
      <w:numFmt w:val="decimal"/>
      <w:suff w:val="tab"/>
      <w:lvlText w:val="%1.%2"/>
      <w:lvlJc w:val="left"/>
      <w:pPr>
        <w:ind w:left="0" w:hanging="0"/>
      </w:pPr>
      <w:rPr>
        <w:rPr>
          <w:b/>
          <w:bCs/>
          <w:color w:val="auto"/>
        </w:rPr>
      </w:rPr>
    </w:lvl>
    <w:lvl w:ilvl="2">
      <w:start w:val="1"/>
      <w:numFmt w:val="decimal"/>
      <w:suff w:val="tab"/>
      <w:lvlText w:val="%1.%2.%3"/>
      <w:lvlJc w:val="left"/>
      <w:pPr>
        <w:ind w:left="568" w:hanging="0"/>
      </w:pPr>
      <w:rPr>
        <w:rPr>
          <w:i/>
        </w:rPr>
      </w:rPr>
    </w:lvl>
    <w:lvl w:ilvl="3">
      <w:start w:val="1"/>
      <w:numFmt w:val="decimal"/>
      <w:suff w:val="tab"/>
      <w:lvlText w:val="%1.%2.%3.%4"/>
      <w:lvlJc w:val="left"/>
      <w:pPr>
        <w:ind w:left="0" w:hanging="0"/>
      </w:pPr>
      <w:rPr/>
    </w:lvl>
    <w:lvl w:ilvl="4">
      <w:start w:val="1"/>
      <w:numFmt w:val="decimal"/>
      <w:suff w:val="tab"/>
      <w:lvlText w:val="%1.%2.%3.%4.%5"/>
      <w:lvlJc w:val="left"/>
      <w:pPr>
        <w:ind w:left="0" w:hanging="0"/>
      </w:pPr>
      <w:rPr/>
    </w:lvl>
    <w:lvl w:ilvl="5">
      <w:start w:val="1"/>
      <w:numFmt w:val="decimal"/>
      <w:suff w:val="tab"/>
      <w:lvlText w:val="%1.%2.%3.%4.%5.%6"/>
      <w:lvlJc w:val="left"/>
      <w:pPr>
        <w:ind w:left="0" w:hanging="0"/>
      </w:pPr>
      <w:rPr/>
    </w:lvl>
    <w:lvl w:ilvl="6">
      <w:start w:val="1"/>
      <w:numFmt w:val="decimal"/>
      <w:suff w:val="tab"/>
      <w:lvlText w:val="%1.%2.%3.%4.%5.%6.%7"/>
      <w:lvlJc w:val="left"/>
      <w:pPr>
        <w:ind w:left="0" w:hanging="0"/>
      </w:pPr>
      <w:rPr/>
    </w:lvl>
    <w:lvl w:ilvl="7">
      <w:start w:val="1"/>
      <w:numFmt w:val="decimal"/>
      <w:suff w:val="tab"/>
      <w:lvlText w:val="%1.%2.%3.%4.%5.%6.%7.%8"/>
      <w:lvlJc w:val="left"/>
      <w:pPr>
        <w:ind w:left="0" w:hanging="0"/>
      </w:pPr>
      <w:rPr/>
    </w:lvl>
    <w:lvl w:ilvl="8">
      <w:start w:val="1"/>
      <w:numFmt w:val="decimal"/>
      <w:suff w:val="tab"/>
      <w:lvlText w:val="%1.%2.%3.%4.%5.%6.%7.%8.%9"/>
      <w:lvlJc w:val="left"/>
      <w:pPr>
        <w:ind w:left="0" w:hanging="0"/>
      </w:pPr>
      <w:rPr/>
    </w:lvl>
  </w:abstractNum>
  <w:abstractNum w:abstractNumId="2">
    <w:multiLevelType w:val="singleLevel"/>
    <w:name w:val="Bullet 2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3">
    <w:multiLevelType w:val="singleLevel"/>
    <w:name w:val="Bullet 3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b/>
          <w:bCs/>
          <w:color w:val="auto"/>
        </w:rPr>
      </w:rPr>
    </w:lvl>
  </w:abstractNum>
  <w:abstractNum w:abstractNumId="4">
    <w:multiLevelType w:val="singleLevel"/>
    <w:name w:val="Bullet 4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i/>
        </w:rPr>
      </w:rPr>
    </w:lvl>
  </w:abstractNum>
  <w:abstractNum w:abstractNumId="5">
    <w:multiLevelType w:val="singleLevel"/>
    <w:name w:val="Bullet 5"/>
    <w:lvl w:ilvl="0">
      <w:numFmt w:val="bullet"/>
      <w:lvlText w:val=""/>
      <w:lvlJc w:val="left"/>
      <w:pPr>
        <w:tabs>
          <w:tab w:val="num" w:pos="360"/>
        </w:tabs>
        <w:ind w:left="360" w:hanging="360"/>
      </w:pPr>
      <w:rPr>
        <w:rPr>
          <w:rFonts w:ascii="Wingdings" w:hAnsi="Wingdings" w:eastAsia="Wingdings" w:cs="Wingdings"/>
        </w:rPr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1"/>
  <w:doNotShadeFormData w:val="1"/>
  <w:captions>
    <w:caption w:name="Таблица" w:pos="below" w:numFmt="decimal"/>
    <w:caption w:name="Рисунок" w:pos="below" w:numFmt="decimal"/>
    <w:caption w:name="Изображение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shapeDefaults>
    <o:shapedefaults v:ext="edit" spidmax="1026"/>
    <o:shapelayout v:ext="edit">
      <o:rules v:ext="edit"/>
    </o:shapelayout>
  </w:shapeDefaults>
  <w:tmPrefOne w:val="16"/>
  <w:tmPrefTwo w:val="1"/>
  <w:tmFmtPref w:val="591409163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0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39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719204722" w:val="766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SimSun" w:cs="Times New Roman"/>
        <w:kern w:val="1"/>
        <w:sz w:val="20"/>
        <w:szCs w:val="20"/>
        <w:lang w:val="ru-ru" w:eastAsia="zh-cn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" w:default="1">
    <w:name w:val="Normal"/>
    <w:qFormat/>
  </w:style>
  <w:style w:type="paragraph" w:styleId="1">
    <w:name w:val="heading 1"/>
    <w:qFormat/>
    <w:basedOn w:val=""/>
    <w:next w:val="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qFormat/>
    <w:basedOn w:val="1"/>
    <w:next w:val=""/>
    <w:pPr>
      <w:outlineLvl w:val="1"/>
    </w:pPr>
    <w:rPr>
      <w:sz w:val="32"/>
      <w:szCs w:val="32"/>
    </w:rPr>
  </w:style>
  <w:style w:type="paragraph" w:styleId="3">
    <w:name w:val="heading 3"/>
    <w:qFormat/>
    <w:basedOn w:val="2"/>
    <w:next w:val=""/>
    <w:pPr>
      <w:outlineLvl w:val="2"/>
    </w:pPr>
    <w:rPr>
      <w:sz w:val="28"/>
      <w:szCs w:val="28"/>
    </w:rPr>
  </w:style>
  <w:style w:type="character" w:styleId="" w:default="1">
    <w:name w:val="Default Paragraph Font"/>
  </w:style>
  <w:style w:type="character" w:styleId="">
    <w:name w:val="Hyperlink"/>
    <w:basedOn w:val=""/>
    <w:rPr>
      <w:color w:val="0000ff"/>
      <w:u w:color="auto"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SimSun" w:cs="Times New Roman"/>
        <w:kern w:val="1"/>
        <w:sz w:val="20"/>
        <w:szCs w:val="20"/>
        <w:lang w:val="ru-ru" w:eastAsia="zh-cn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" w:default="1">
    <w:name w:val="Normal"/>
    <w:qFormat/>
  </w:style>
  <w:style w:type="paragraph" w:styleId="1">
    <w:name w:val="heading 1"/>
    <w:qFormat/>
    <w:basedOn w:val=""/>
    <w:next w:val="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qFormat/>
    <w:basedOn w:val="1"/>
    <w:next w:val=""/>
    <w:pPr>
      <w:outlineLvl w:val="1"/>
    </w:pPr>
    <w:rPr>
      <w:sz w:val="32"/>
      <w:szCs w:val="32"/>
    </w:rPr>
  </w:style>
  <w:style w:type="paragraph" w:styleId="3">
    <w:name w:val="heading 3"/>
    <w:qFormat/>
    <w:basedOn w:val="2"/>
    <w:next w:val=""/>
    <w:pPr>
      <w:outlineLvl w:val="2"/>
    </w:pPr>
    <w:rPr>
      <w:sz w:val="28"/>
      <w:szCs w:val="28"/>
    </w:rPr>
  </w:style>
  <w:style w:type="character" w:styleId="" w:default="1">
    <w:name w:val="Default Paragraph Font"/>
  </w:style>
  <w:style w:type="character" w:styleId="">
    <w:name w:val="Hyperlink"/>
    <w:basedOn w:val=""/>
    <w:rPr>
      <w:color w:val="0000ff"/>
      <w:u w:color="auto"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hyperlink" Target="https://normativ.kontur.ru/document?moduleId=1&amp;documentId=298188#l4" TargetMode="External"/><Relationship Id="rId9" Type="http://schemas.openxmlformats.org/officeDocument/2006/relationships/hyperlink" Target="https://normativ.kontur.ru/document?moduleId=1&amp;documentId=317111#l2" TargetMode="External"/><Relationship Id="rId10" Type="http://schemas.openxmlformats.org/officeDocument/2006/relationships/hyperlink" Target="https://normativ.kontur.ru/document?moduleId=1&amp;documentId=466105#l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2016 rev.766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0</cp:revision>
  <dcterms:created xsi:type="dcterms:W3CDTF">2024-06-24T05:51:09Z</dcterms:created>
  <dcterms:modified xsi:type="dcterms:W3CDTF">2024-06-24T07:52:02Z</dcterms:modified>
</cp:coreProperties>
</file>